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jc w:val="center"/>
        <w:outlineLvl w:val="1"/>
        <w:rPr>
          <w:rFonts w:ascii="微软雅黑"/>
          <w:b/>
          <w:bCs/>
          <w:color w:val="4B4B4B"/>
          <w:kern w:val="36"/>
          <w:sz w:val="24"/>
          <w:szCs w:val="24"/>
        </w:rPr>
      </w:pPr>
      <w:bookmarkStart w:id="0" w:name="_GoBack"/>
      <w:r>
        <w:rPr>
          <w:rFonts w:hint="eastAsia" w:ascii="微软雅黑" w:hAnsi="微软雅黑" w:cs="微软雅黑"/>
          <w:b/>
          <w:bCs/>
          <w:color w:val="4B4B4B"/>
          <w:kern w:val="36"/>
          <w:sz w:val="24"/>
          <w:szCs w:val="24"/>
        </w:rPr>
        <w:t>教育部关于印发《高等学校思想政治理论课建设标准》的通知</w:t>
      </w:r>
    </w:p>
    <w:bookmarkEnd w:id="0"/>
    <w:p>
      <w:pPr>
        <w:shd w:val="clear" w:color="auto" w:fill="FFFFFF"/>
        <w:adjustRightInd/>
        <w:snapToGrid/>
        <w:spacing w:before="100" w:beforeAutospacing="1" w:after="100" w:afterAutospacing="1" w:line="384" w:lineRule="atLeast"/>
        <w:jc w:val="right"/>
        <w:rPr>
          <w:rFonts w:ascii="微软雅黑"/>
          <w:b/>
          <w:bCs/>
          <w:vanish/>
          <w:color w:val="4B4B4B"/>
          <w:sz w:val="19"/>
          <w:szCs w:val="19"/>
        </w:rPr>
      </w:pPr>
      <w:r>
        <w:rPr>
          <w:rFonts w:hint="eastAsia" w:ascii="微软雅黑" w:hAnsi="微软雅黑" w:cs="微软雅黑"/>
          <w:b/>
          <w:bCs/>
          <w:vanish/>
          <w:color w:val="4B4B4B"/>
          <w:sz w:val="19"/>
          <w:szCs w:val="19"/>
        </w:rPr>
        <w:t>教社科</w:t>
      </w:r>
      <w:r>
        <w:rPr>
          <w:rFonts w:ascii="微软雅黑" w:hAnsi="微软雅黑" w:cs="微软雅黑"/>
          <w:b/>
          <w:bCs/>
          <w:vanish/>
          <w:color w:val="4B4B4B"/>
          <w:sz w:val="19"/>
          <w:szCs w:val="19"/>
        </w:rPr>
        <w:t>[2015]3</w:t>
      </w:r>
      <w:r>
        <w:rPr>
          <w:rFonts w:hint="eastAsia" w:ascii="微软雅黑" w:hAnsi="微软雅黑" w:cs="微软雅黑"/>
          <w:b/>
          <w:bCs/>
          <w:vanish/>
          <w:color w:val="4B4B4B"/>
          <w:sz w:val="19"/>
          <w:szCs w:val="19"/>
        </w:rPr>
        <w:t>号</w:t>
      </w:r>
    </w:p>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微软雅黑" w:hAnsi="微软雅黑" w:cs="微软雅黑"/>
          <w:color w:val="4B4B4B"/>
          <w:sz w:val="19"/>
          <w:szCs w:val="19"/>
        </w:rPr>
        <w:t>各省、自治区、直辖市教育厅（教委），新疆生产建设兵团教育局，有关部门（单位）教育司（局），部属各高等学校：</w:t>
      </w:r>
    </w:p>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微软雅黑" w:hAnsi="微软雅黑" w:cs="微软雅黑"/>
          <w:color w:val="4B4B4B"/>
          <w:sz w:val="19"/>
          <w:szCs w:val="19"/>
        </w:rPr>
        <w:t>　　为进一步加强高校思想政治理论课的宏观指导，规范组织管理、教学管理、队伍管理和学科建设，我部对</w:t>
      </w:r>
      <w:r>
        <w:rPr>
          <w:rFonts w:ascii="微软雅黑" w:hAnsi="微软雅黑" w:cs="微软雅黑"/>
          <w:color w:val="4B4B4B"/>
          <w:sz w:val="19"/>
          <w:szCs w:val="19"/>
        </w:rPr>
        <w:t>2011</w:t>
      </w:r>
      <w:r>
        <w:rPr>
          <w:rFonts w:hint="eastAsia" w:ascii="微软雅黑" w:hAnsi="微软雅黑" w:cs="微软雅黑"/>
          <w:color w:val="4B4B4B"/>
          <w:sz w:val="19"/>
          <w:szCs w:val="19"/>
        </w:rPr>
        <w:t>年印发的《高等学校思想政治理论课建设标准（暂行）》进行了修订。现将修订后的《高等学校思想政治理论课建设标准》印发给你们，请遵照执行。</w:t>
      </w:r>
    </w:p>
    <w:p>
      <w:pPr>
        <w:shd w:val="clear" w:color="auto" w:fill="FFFFFF"/>
        <w:adjustRightInd/>
        <w:snapToGrid/>
        <w:spacing w:before="100" w:beforeAutospacing="1" w:after="100" w:afterAutospacing="1" w:line="384" w:lineRule="atLeast"/>
        <w:jc w:val="right"/>
        <w:rPr>
          <w:rFonts w:ascii="微软雅黑"/>
          <w:color w:val="4B4B4B"/>
          <w:sz w:val="19"/>
          <w:szCs w:val="19"/>
        </w:rPr>
      </w:pPr>
      <w:r>
        <w:rPr>
          <w:rFonts w:hint="eastAsia" w:ascii="微软雅黑" w:hAnsi="微软雅黑" w:cs="微软雅黑"/>
          <w:color w:val="4B4B4B"/>
          <w:sz w:val="19"/>
          <w:szCs w:val="19"/>
        </w:rPr>
        <w:t>教育部</w:t>
      </w:r>
    </w:p>
    <w:p>
      <w:pPr>
        <w:shd w:val="clear" w:color="auto" w:fill="FFFFFF"/>
        <w:adjustRightInd/>
        <w:snapToGrid/>
        <w:spacing w:before="100" w:beforeAutospacing="1" w:after="100" w:afterAutospacing="1" w:line="384" w:lineRule="atLeast"/>
        <w:jc w:val="right"/>
        <w:rPr>
          <w:rFonts w:ascii="微软雅黑"/>
          <w:color w:val="4B4B4B"/>
          <w:sz w:val="19"/>
          <w:szCs w:val="19"/>
        </w:rPr>
      </w:pPr>
      <w:r>
        <w:rPr>
          <w:rFonts w:ascii="微软雅黑" w:hAnsi="微软雅黑" w:cs="微软雅黑"/>
          <w:color w:val="4B4B4B"/>
          <w:sz w:val="19"/>
          <w:szCs w:val="19"/>
        </w:rPr>
        <w:t>2015</w:t>
      </w:r>
      <w:r>
        <w:rPr>
          <w:rFonts w:hint="eastAsia" w:ascii="微软雅黑" w:hAnsi="微软雅黑" w:cs="微软雅黑"/>
          <w:color w:val="4B4B4B"/>
          <w:sz w:val="19"/>
          <w:szCs w:val="19"/>
        </w:rPr>
        <w:t>年</w:t>
      </w:r>
      <w:r>
        <w:rPr>
          <w:rFonts w:ascii="微软雅黑" w:hAnsi="微软雅黑" w:cs="微软雅黑"/>
          <w:color w:val="4B4B4B"/>
          <w:sz w:val="19"/>
          <w:szCs w:val="19"/>
        </w:rPr>
        <w:t>9</w:t>
      </w:r>
      <w:r>
        <w:rPr>
          <w:rFonts w:hint="eastAsia" w:ascii="微软雅黑" w:hAnsi="微软雅黑" w:cs="微软雅黑"/>
          <w:color w:val="4B4B4B"/>
          <w:sz w:val="19"/>
          <w:szCs w:val="19"/>
        </w:rPr>
        <w:t>月</w:t>
      </w:r>
      <w:r>
        <w:rPr>
          <w:rFonts w:ascii="微软雅黑" w:hAnsi="微软雅黑" w:cs="微软雅黑"/>
          <w:color w:val="4B4B4B"/>
          <w:sz w:val="19"/>
          <w:szCs w:val="19"/>
        </w:rPr>
        <w:t>10</w:t>
      </w:r>
      <w:r>
        <w:rPr>
          <w:rFonts w:hint="eastAsia" w:ascii="微软雅黑" w:hAnsi="微软雅黑" w:cs="微软雅黑"/>
          <w:color w:val="4B4B4B"/>
          <w:sz w:val="19"/>
          <w:szCs w:val="19"/>
        </w:rPr>
        <w:t>日</w:t>
      </w:r>
    </w:p>
    <w:p>
      <w:pPr>
        <w:shd w:val="clear" w:color="auto" w:fill="FFFFFF"/>
        <w:adjustRightInd/>
        <w:snapToGrid/>
        <w:spacing w:before="100" w:beforeAutospacing="1" w:after="100" w:afterAutospacing="1" w:line="384" w:lineRule="atLeast"/>
        <w:jc w:val="center"/>
        <w:rPr>
          <w:rFonts w:ascii="微软雅黑"/>
          <w:color w:val="4B4B4B"/>
          <w:sz w:val="19"/>
          <w:szCs w:val="19"/>
        </w:rPr>
      </w:pPr>
      <w:r>
        <w:rPr>
          <w:rFonts w:hint="eastAsia" w:ascii="微软雅黑" w:hAnsi="微软雅黑" w:cs="微软雅黑"/>
          <w:b/>
          <w:bCs/>
          <w:color w:val="4B4B4B"/>
          <w:sz w:val="19"/>
          <w:szCs w:val="19"/>
        </w:rPr>
        <w:t>高等学校思想政治理论课建设标准</w:t>
      </w:r>
    </w:p>
    <w:tbl>
      <w:tblPr>
        <w:tblStyle w:val="5"/>
        <w:tblW w:w="8064"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7"/>
        <w:gridCol w:w="1018"/>
        <w:gridCol w:w="4273"/>
        <w:gridCol w:w="631"/>
        <w:gridCol w:w="11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tblHeader/>
          <w:jc w:val="center"/>
        </w:trPr>
        <w:tc>
          <w:tcPr>
            <w:tcW w:w="1017" w:type="dxa"/>
            <w:tcBorders>
              <w:top w:val="single" w:color="auto" w:sz="8" w:space="0"/>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84" w:lineRule="atLeast"/>
              <w:jc w:val="center"/>
              <w:rPr>
                <w:rFonts w:ascii="微软雅黑"/>
                <w:color w:val="4B4B4B"/>
                <w:sz w:val="19"/>
                <w:szCs w:val="19"/>
              </w:rPr>
            </w:pPr>
            <w:r>
              <w:rPr>
                <w:rFonts w:hint="eastAsia" w:ascii="宋体" w:hAnsi="宋体" w:eastAsia="宋体" w:cs="宋体"/>
                <w:color w:val="4B4B4B"/>
                <w:sz w:val="19"/>
                <w:szCs w:val="19"/>
              </w:rPr>
              <w:t>一级指标</w:t>
            </w:r>
          </w:p>
        </w:tc>
        <w:tc>
          <w:tcPr>
            <w:tcW w:w="1018"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84" w:lineRule="atLeast"/>
              <w:jc w:val="center"/>
              <w:rPr>
                <w:rFonts w:ascii="微软雅黑"/>
                <w:color w:val="4B4B4B"/>
                <w:sz w:val="19"/>
                <w:szCs w:val="19"/>
              </w:rPr>
            </w:pPr>
            <w:r>
              <w:rPr>
                <w:rFonts w:hint="eastAsia" w:ascii="宋体" w:hAnsi="宋体" w:eastAsia="宋体" w:cs="宋体"/>
                <w:color w:val="4B4B4B"/>
                <w:sz w:val="19"/>
                <w:szCs w:val="19"/>
              </w:rPr>
              <w:t>二级指标</w:t>
            </w:r>
          </w:p>
        </w:tc>
        <w:tc>
          <w:tcPr>
            <w:tcW w:w="4273"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84" w:lineRule="atLeast"/>
              <w:jc w:val="center"/>
              <w:rPr>
                <w:rFonts w:ascii="微软雅黑"/>
                <w:color w:val="4B4B4B"/>
                <w:sz w:val="19"/>
                <w:szCs w:val="19"/>
              </w:rPr>
            </w:pPr>
            <w:r>
              <w:rPr>
                <w:rFonts w:hint="eastAsia" w:ascii="宋体" w:hAnsi="宋体" w:eastAsia="宋体" w:cs="宋体"/>
                <w:color w:val="4B4B4B"/>
                <w:sz w:val="19"/>
                <w:szCs w:val="19"/>
              </w:rPr>
              <w:t>三级指标</w:t>
            </w:r>
          </w:p>
        </w:tc>
        <w:tc>
          <w:tcPr>
            <w:tcW w:w="631"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84" w:lineRule="atLeast"/>
              <w:jc w:val="center"/>
              <w:rPr>
                <w:rFonts w:ascii="微软雅黑"/>
                <w:color w:val="4B4B4B"/>
                <w:sz w:val="19"/>
                <w:szCs w:val="19"/>
              </w:rPr>
            </w:pPr>
            <w:r>
              <w:rPr>
                <w:rFonts w:hint="eastAsia" w:ascii="宋体" w:hAnsi="宋体" w:eastAsia="宋体" w:cs="宋体"/>
                <w:color w:val="4B4B4B"/>
                <w:sz w:val="19"/>
                <w:szCs w:val="19"/>
              </w:rPr>
              <w:t>指标类型</w:t>
            </w:r>
          </w:p>
        </w:tc>
        <w:tc>
          <w:tcPr>
            <w:tcW w:w="1125" w:type="dxa"/>
            <w:tcBorders>
              <w:top w:val="single" w:color="auto" w:sz="8" w:space="0"/>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84" w:lineRule="atLeast"/>
              <w:jc w:val="center"/>
              <w:rPr>
                <w:rFonts w:ascii="微软雅黑"/>
                <w:color w:val="4B4B4B"/>
                <w:sz w:val="19"/>
                <w:szCs w:val="19"/>
              </w:rPr>
            </w:pPr>
            <w:r>
              <w:rPr>
                <w:rFonts w:hint="eastAsia" w:ascii="宋体" w:hAnsi="宋体" w:eastAsia="宋体" w:cs="宋体"/>
                <w:color w:val="4B4B4B"/>
                <w:sz w:val="19"/>
                <w:szCs w:val="19"/>
              </w:rPr>
              <w:t>责任部门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restart"/>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组织管理</w:t>
            </w: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领导体制</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hint="eastAsia" w:ascii="宋体" w:hAnsi="宋体" w:eastAsia="宋体" w:cs="宋体"/>
                <w:color w:val="4B4B4B"/>
                <w:sz w:val="19"/>
                <w:szCs w:val="19"/>
              </w:rPr>
              <w:t>学校党委直接领导，协调校行政负责实施，分管校领导具体负责，并成立相应的领导机构。</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学校党委、行政领导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工作机制</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．校党委（常委）会议、校长办公会每学期至少召开一次专题会议研究工作，会议决议能够及时落实。</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学校党委、行政领导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．学校党委书记或校长每学年到思想政治理论课教研部门开现场办公会至少</w:t>
            </w:r>
            <w:r>
              <w:rPr>
                <w:rFonts w:ascii="宋体" w:hAnsi="宋体" w:eastAsia="宋体" w:cs="宋体"/>
                <w:color w:val="4B4B4B"/>
                <w:sz w:val="19"/>
                <w:szCs w:val="19"/>
              </w:rPr>
              <w:t>1</w:t>
            </w:r>
            <w:r>
              <w:rPr>
                <w:rFonts w:hint="eastAsia" w:ascii="宋体" w:hAnsi="宋体" w:eastAsia="宋体" w:cs="宋体"/>
                <w:color w:val="4B4B4B"/>
                <w:sz w:val="19"/>
                <w:szCs w:val="19"/>
              </w:rPr>
              <w:t>次，听取思想政治理论课教学工作汇报，解决实际问题。学校党政主要负责同志每学期至少讲授</w:t>
            </w:r>
            <w:r>
              <w:rPr>
                <w:rFonts w:ascii="宋体" w:hAnsi="宋体" w:eastAsia="宋体" w:cs="宋体"/>
                <w:color w:val="4B4B4B"/>
                <w:sz w:val="19"/>
                <w:szCs w:val="19"/>
              </w:rPr>
              <w:t>1</w:t>
            </w:r>
            <w:r>
              <w:rPr>
                <w:rFonts w:hint="eastAsia" w:ascii="宋体" w:hAnsi="宋体" w:eastAsia="宋体" w:cs="宋体"/>
                <w:color w:val="4B4B4B"/>
                <w:sz w:val="19"/>
                <w:szCs w:val="19"/>
              </w:rPr>
              <w:t>次思想政治理论课。学校分管领导每学期到堂听课</w:t>
            </w:r>
            <w:r>
              <w:rPr>
                <w:rFonts w:ascii="宋体" w:hAnsi="宋体" w:eastAsia="宋体" w:cs="宋体"/>
                <w:color w:val="4B4B4B"/>
                <w:sz w:val="19"/>
                <w:szCs w:val="19"/>
              </w:rPr>
              <w:t>2</w:t>
            </w:r>
            <w:r>
              <w:rPr>
                <w:rFonts w:hint="eastAsia" w:ascii="宋体" w:hAnsi="宋体" w:eastAsia="宋体" w:cs="宋体"/>
                <w:color w:val="4B4B4B"/>
                <w:sz w:val="19"/>
                <w:szCs w:val="19"/>
              </w:rPr>
              <w:t>次以上。</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3</w:t>
            </w:r>
            <w:r>
              <w:rPr>
                <w:rFonts w:hint="eastAsia" w:ascii="宋体" w:hAnsi="宋体" w:eastAsia="宋体" w:cs="宋体"/>
                <w:color w:val="4B4B4B"/>
                <w:sz w:val="19"/>
                <w:szCs w:val="19"/>
              </w:rPr>
              <w:t>．把思想政治理论课建设列入学校事业发展规划，作为学校重点课程建设，有条件的本科院校同时应作为重点学科建设，每年至少进行一次专项督查。</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4</w:t>
            </w:r>
            <w:r>
              <w:rPr>
                <w:rFonts w:hint="eastAsia" w:ascii="宋体" w:hAnsi="宋体" w:eastAsia="宋体" w:cs="宋体"/>
                <w:color w:val="4B4B4B"/>
                <w:sz w:val="19"/>
                <w:szCs w:val="19"/>
              </w:rPr>
              <w:t>．学校宣传、人事、教务、研究生院（处）、财务、科研、学生处、团委等党政部门和思政课教学科研机构各负其责，相互配合，落实思想政治理论课教育教学、学科建设、人才培养、科研立项、社会实践、经费保障等各方面政策和措施。</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学校党委、行政领导及有关部门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hint="eastAsia" w:ascii="宋体" w:hAnsi="宋体" w:eastAsia="宋体" w:cs="宋体"/>
                <w:color w:val="4B4B4B"/>
                <w:sz w:val="19"/>
                <w:szCs w:val="19"/>
              </w:rPr>
              <w:t>机构建设</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学校党委、行政领导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．配齐二级机构领导班子，班子成员应是中共党员，且从事马克思主义理论学科研究和思想政治理论课教学，不得兼任其他二级院（系）的主要负责人。</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学校党委、行政领导及有关部门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3</w:t>
            </w:r>
            <w:r>
              <w:rPr>
                <w:rFonts w:hint="eastAsia" w:ascii="宋体" w:hAnsi="宋体" w:eastAsia="宋体" w:cs="宋体"/>
                <w:color w:val="4B4B4B"/>
                <w:sz w:val="19"/>
                <w:szCs w:val="19"/>
              </w:rPr>
              <w:t>．与专业院系同等配备办公用房和教学设备、基本图书资料、国内外主要社科期刊、声像资料、教学课件以及办公设备等，满足教学及办公需要。</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专项经费</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FF0000"/>
                <w:sz w:val="19"/>
                <w:szCs w:val="19"/>
              </w:rPr>
            </w:pPr>
            <w:r>
              <w:rPr>
                <w:rFonts w:hint="eastAsia" w:ascii="宋体" w:hAnsi="宋体" w:eastAsia="宋体" w:cs="宋体"/>
                <w:color w:val="FF0000"/>
                <w:sz w:val="19"/>
                <w:szCs w:val="19"/>
              </w:rPr>
              <w:t>学校在保障思想政治理论课教学科研机构正常运转的各项经费的同时，本科院校按在校本硕博全部在校生总数每生每年不低于</w:t>
            </w:r>
            <w:r>
              <w:rPr>
                <w:rFonts w:ascii="宋体" w:hAnsi="宋体" w:eastAsia="宋体" w:cs="宋体"/>
                <w:color w:val="FF0000"/>
                <w:sz w:val="19"/>
                <w:szCs w:val="19"/>
              </w:rPr>
              <w:t>20</w:t>
            </w:r>
            <w:r>
              <w:rPr>
                <w:rFonts w:hint="eastAsia" w:ascii="宋体" w:hAnsi="宋体" w:eastAsia="宋体" w:cs="宋体"/>
                <w:color w:val="FF0000"/>
                <w:sz w:val="19"/>
                <w:szCs w:val="19"/>
              </w:rPr>
              <w:t>元，专科院校每生每年不低于</w:t>
            </w:r>
            <w:r>
              <w:rPr>
                <w:rFonts w:ascii="宋体" w:hAnsi="宋体" w:eastAsia="宋体" w:cs="宋体"/>
                <w:color w:val="FF0000"/>
                <w:sz w:val="19"/>
                <w:szCs w:val="19"/>
              </w:rPr>
              <w:t>15</w:t>
            </w:r>
            <w:r>
              <w:rPr>
                <w:rFonts w:hint="eastAsia" w:ascii="宋体" w:hAnsi="宋体" w:eastAsia="宋体" w:cs="宋体"/>
                <w:color w:val="FF0000"/>
                <w:sz w:val="19"/>
                <w:szCs w:val="19"/>
              </w:rPr>
              <w:t>元的标准提取专项经费，用于教师学术交流、实践研修等，并随着学校经费的增长逐年增加。专项经费安排使用明确，专款专用。</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FF0000"/>
                <w:sz w:val="19"/>
                <w:szCs w:val="19"/>
              </w:rPr>
            </w:pPr>
            <w:r>
              <w:rPr>
                <w:rFonts w:hint="eastAsia" w:ascii="宋体" w:hAnsi="宋体" w:eastAsia="宋体" w:cs="宋体"/>
                <w:color w:val="FF0000"/>
                <w:sz w:val="19"/>
                <w:szCs w:val="19"/>
              </w:rPr>
              <w:t>学校党委、行政领导及财务部门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restart"/>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教学管理</w:t>
            </w: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管理制度</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hint="eastAsia" w:ascii="宋体" w:hAnsi="宋体" w:eastAsia="宋体" w:cs="宋体"/>
                <w:color w:val="4B4B4B"/>
                <w:sz w:val="19"/>
                <w:szCs w:val="19"/>
              </w:rPr>
              <w:t>教学管理制度健全，建立备课、听课制度以及教学内容和教学质量监控制度，认真执行各项管理规章制度，检查、评价制度等。教学档案齐全。</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课程设置</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．按照本、专科生思想政治理论课“</w:t>
            </w:r>
            <w:r>
              <w:rPr>
                <w:rFonts w:ascii="宋体" w:hAnsi="宋体" w:eastAsia="宋体" w:cs="宋体"/>
                <w:color w:val="4B4B4B"/>
                <w:sz w:val="19"/>
                <w:szCs w:val="19"/>
              </w:rPr>
              <w:t>05</w:t>
            </w:r>
            <w:r>
              <w:rPr>
                <w:rFonts w:hint="eastAsia" w:ascii="宋体" w:hAnsi="宋体" w:eastAsia="宋体" w:cs="宋体"/>
                <w:color w:val="4B4B4B"/>
                <w:sz w:val="19"/>
                <w:szCs w:val="19"/>
              </w:rPr>
              <w:t>方案”，研究生思想政治理论课新方案（</w:t>
            </w:r>
            <w:r>
              <w:rPr>
                <w:rFonts w:ascii="宋体" w:hAnsi="宋体" w:eastAsia="宋体" w:cs="宋体"/>
                <w:color w:val="4B4B4B"/>
                <w:sz w:val="19"/>
                <w:szCs w:val="19"/>
              </w:rPr>
              <w:t>2011</w:t>
            </w:r>
            <w:r>
              <w:rPr>
                <w:rFonts w:hint="eastAsia" w:ascii="宋体" w:hAnsi="宋体" w:eastAsia="宋体" w:cs="宋体"/>
                <w:color w:val="4B4B4B"/>
                <w:sz w:val="19"/>
                <w:szCs w:val="19"/>
              </w:rPr>
              <w:t>年秋季开始实施）的规定，根据学校培养人才层次，落实课程和学分及对应的课堂教学学时，无挪用或减少课时的情况。</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研究生院（处）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．积极创造条件开设本科生和研究生层次思想政治理论课选修课。</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教材使用</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．使用马克思主义理论研究和建设工程重点教材思想政治理论课最新版本统编教材。</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研究生院（处）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．“形势与政策”课要根据教育部下发的教育教学要点组织教学，选用中宣部和教育部组织制作的《时事报告（大学生版）》和《时事》</w:t>
            </w:r>
            <w:r>
              <w:rPr>
                <w:rFonts w:ascii="宋体" w:hAnsi="宋体" w:eastAsia="宋体" w:cs="宋体"/>
                <w:color w:val="4B4B4B"/>
                <w:sz w:val="19"/>
                <w:szCs w:val="19"/>
              </w:rPr>
              <w:t>DVD</w:t>
            </w:r>
            <w:r>
              <w:rPr>
                <w:rFonts w:hint="eastAsia" w:ascii="宋体" w:hAnsi="宋体" w:eastAsia="宋体" w:cs="宋体"/>
                <w:color w:val="4B4B4B"/>
                <w:sz w:val="19"/>
                <w:szCs w:val="19"/>
              </w:rPr>
              <w:t>作为学生学习辅导资料。</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课堂教学</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．课堂规模一般不超过</w:t>
            </w:r>
            <w:r>
              <w:rPr>
                <w:rFonts w:ascii="宋体" w:hAnsi="宋体" w:eastAsia="宋体" w:cs="宋体"/>
                <w:color w:val="4B4B4B"/>
                <w:sz w:val="19"/>
                <w:szCs w:val="19"/>
              </w:rPr>
              <w:t>100</w:t>
            </w:r>
            <w:r>
              <w:rPr>
                <w:rFonts w:hint="eastAsia" w:ascii="宋体" w:hAnsi="宋体" w:eastAsia="宋体" w:cs="宋体"/>
                <w:color w:val="4B4B4B"/>
                <w:sz w:val="19"/>
                <w:szCs w:val="19"/>
              </w:rPr>
              <w:t>人，推行中班教学，倡导中班上课，小班研学讨论的教学模式。</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教务处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．合理安排课堂教学时间。</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实践教学</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hint="eastAsia" w:ascii="宋体" w:hAnsi="宋体" w:eastAsia="宋体" w:cs="宋体"/>
                <w:color w:val="4B4B4B"/>
                <w:sz w:val="19"/>
                <w:szCs w:val="19"/>
              </w:rPr>
              <w:t>实践教学纳入教学计划，统筹思想政治理论课各门课的实践教学、落实学分（本科</w:t>
            </w:r>
            <w:r>
              <w:rPr>
                <w:rFonts w:ascii="宋体" w:hAnsi="宋体" w:eastAsia="宋体" w:cs="宋体"/>
                <w:color w:val="4B4B4B"/>
                <w:sz w:val="19"/>
                <w:szCs w:val="19"/>
              </w:rPr>
              <w:t>2</w:t>
            </w:r>
            <w:r>
              <w:rPr>
                <w:rFonts w:hint="eastAsia" w:ascii="宋体" w:hAnsi="宋体" w:eastAsia="宋体" w:cs="宋体"/>
                <w:color w:val="4B4B4B"/>
                <w:sz w:val="19"/>
                <w:szCs w:val="19"/>
              </w:rPr>
              <w:t>学分，专科</w:t>
            </w:r>
            <w:r>
              <w:rPr>
                <w:rFonts w:ascii="宋体" w:hAnsi="宋体" w:eastAsia="宋体" w:cs="宋体"/>
                <w:color w:val="4B4B4B"/>
                <w:sz w:val="19"/>
                <w:szCs w:val="19"/>
              </w:rPr>
              <w:t>1</w:t>
            </w:r>
            <w:r>
              <w:rPr>
                <w:rFonts w:hint="eastAsia" w:ascii="宋体" w:hAnsi="宋体" w:eastAsia="宋体" w:cs="宋体"/>
                <w:color w:val="4B4B4B"/>
                <w:sz w:val="19"/>
                <w:szCs w:val="19"/>
              </w:rPr>
              <w:t>学分）、教学内容、指导教师和专项经费。实践教学覆盖全体学生，建立相对稳定的校外实践教学基地。</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财务处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学生处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团委</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教学方法改革</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．积极探索教学方法改革、优化教学手段。</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教务处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．改革考试评价方式，建立健全科学全面准确的考试考核评价体系，注重过程考核。</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教学成果</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hint="eastAsia" w:ascii="宋体" w:hAnsi="宋体" w:eastAsia="宋体" w:cs="宋体"/>
                <w:color w:val="4B4B4B"/>
                <w:sz w:val="19"/>
                <w:szCs w:val="19"/>
              </w:rPr>
              <w:t>列入校级教学成果类奖系列评选之中，并积极组织推荐参评校级以上教学评选活动。</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教务处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restart"/>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队伍管理</w:t>
            </w: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olor w:val="4B4B4B"/>
                <w:sz w:val="19"/>
                <w:szCs w:val="19"/>
              </w:rPr>
              <w:t> </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政治方向</w:t>
            </w:r>
          </w:p>
          <w:p>
            <w:pPr>
              <w:adjustRightInd/>
              <w:snapToGrid/>
              <w:spacing w:before="100" w:beforeAutospacing="1" w:after="100" w:afterAutospacing="1" w:line="360" w:lineRule="atLeast"/>
              <w:rPr>
                <w:rFonts w:ascii="微软雅黑"/>
                <w:color w:val="4B4B4B"/>
                <w:sz w:val="19"/>
                <w:szCs w:val="19"/>
              </w:rPr>
            </w:pPr>
            <w:r>
              <w:rPr>
                <w:rFonts w:ascii="宋体" w:hAnsi="宋体" w:eastAsia="宋体"/>
                <w:color w:val="4B4B4B"/>
                <w:sz w:val="19"/>
                <w:szCs w:val="19"/>
              </w:rPr>
              <w:t> </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hint="eastAsia" w:ascii="宋体" w:hAnsi="宋体" w:eastAsia="宋体" w:cs="宋体"/>
                <w:color w:val="4B4B4B"/>
                <w:sz w:val="19"/>
                <w:szCs w:val="19"/>
              </w:rPr>
              <w:t>思想政治理论课教师应坚持正确的政治方向，有扎实的马克思主义理论基础，在事关政治原则、政治立场和政治方向的问题上与党中央保持一致。</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人事处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师德师风</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hint="eastAsia" w:ascii="宋体" w:hAnsi="宋体" w:eastAsia="宋体" w:cs="宋体"/>
                <w:color w:val="4B4B4B"/>
                <w:sz w:val="19"/>
                <w:szCs w:val="19"/>
              </w:rPr>
              <w:t>思想政治理论课教师具有良好的思想品德、职业道德、责任意识和敬业精神，无学术不端、教学违纪现象。</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人事处</w:t>
            </w:r>
          </w:p>
          <w:p>
            <w:pPr>
              <w:adjustRightInd/>
              <w:snapToGrid/>
              <w:spacing w:before="100" w:beforeAutospacing="1" w:after="100" w:afterAutospacing="1" w:line="32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ind w:left="15" w:hanging="15"/>
              <w:jc w:val="center"/>
              <w:rPr>
                <w:rFonts w:ascii="微软雅黑"/>
                <w:color w:val="4B4B4B"/>
                <w:sz w:val="19"/>
                <w:szCs w:val="19"/>
              </w:rPr>
            </w:pPr>
            <w:r>
              <w:rPr>
                <w:rFonts w:hint="eastAsia" w:ascii="宋体" w:hAnsi="宋体" w:eastAsia="宋体" w:cs="宋体"/>
                <w:color w:val="4B4B4B"/>
                <w:sz w:val="19"/>
                <w:szCs w:val="19"/>
              </w:rPr>
              <w:t>教师选配</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hint="eastAsia" w:ascii="宋体" w:hAnsi="宋体" w:eastAsia="宋体" w:cs="宋体"/>
                <w:color w:val="4B4B4B"/>
                <w:sz w:val="19"/>
                <w:szCs w:val="19"/>
              </w:rPr>
              <w:t>本科院校思想政治理论课专职教师按师生比</w:t>
            </w:r>
            <w:r>
              <w:rPr>
                <w:rFonts w:ascii="宋体" w:hAnsi="宋体" w:eastAsia="宋体" w:cs="宋体"/>
                <w:color w:val="4B4B4B"/>
                <w:sz w:val="19"/>
                <w:szCs w:val="19"/>
              </w:rPr>
              <w:t>1:350—400</w:t>
            </w:r>
            <w:r>
              <w:rPr>
                <w:rFonts w:hint="eastAsia" w:ascii="宋体" w:hAnsi="宋体" w:eastAsia="宋体" w:cs="宋体"/>
                <w:color w:val="4B4B4B"/>
                <w:sz w:val="19"/>
                <w:szCs w:val="19"/>
              </w:rPr>
              <w:t>配备，专科院校思想政治理论课专职教师按师生比</w:t>
            </w:r>
            <w:r>
              <w:rPr>
                <w:rFonts w:ascii="宋体" w:hAnsi="宋体" w:eastAsia="宋体" w:cs="宋体"/>
                <w:color w:val="4B4B4B"/>
                <w:sz w:val="19"/>
                <w:szCs w:val="19"/>
              </w:rPr>
              <w:t>1:550—600</w:t>
            </w:r>
            <w:r>
              <w:rPr>
                <w:rFonts w:hint="eastAsia" w:ascii="宋体" w:hAnsi="宋体" w:eastAsia="宋体" w:cs="宋体"/>
                <w:color w:val="4B4B4B"/>
                <w:sz w:val="19"/>
                <w:szCs w:val="19"/>
              </w:rPr>
              <w:t>配备。</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人事处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．兼职教师具有硕士研究生以上学历（专科院校兼职教师具有本科以上学历）和相关专业背景，按学校有关规定考核合格。</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3</w:t>
            </w:r>
            <w:r>
              <w:rPr>
                <w:rFonts w:hint="eastAsia" w:ascii="宋体" w:hAnsi="宋体" w:eastAsia="宋体" w:cs="宋体"/>
                <w:color w:val="4B4B4B"/>
                <w:sz w:val="19"/>
                <w:szCs w:val="19"/>
              </w:rPr>
              <w:t>．新任专职教师原则上应是中共党员，并具备马克思主义理论相关学科背景硕士以上学位。</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ind w:left="15" w:hanging="15"/>
              <w:jc w:val="center"/>
              <w:rPr>
                <w:rFonts w:ascii="微软雅黑"/>
                <w:color w:val="4B4B4B"/>
                <w:sz w:val="19"/>
                <w:szCs w:val="19"/>
              </w:rPr>
            </w:pPr>
            <w:r>
              <w:rPr>
                <w:rFonts w:hint="eastAsia" w:ascii="宋体" w:hAnsi="宋体" w:eastAsia="宋体" w:cs="宋体"/>
                <w:color w:val="4B4B4B"/>
                <w:sz w:val="19"/>
                <w:szCs w:val="19"/>
              </w:rPr>
              <w:t>培养培训</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．新任专职教师必须参加省级岗前培训；所有专职教师应积极参加省级或中宣部、教育部组织的示范培训或课程培训或骨干研修。学校每年对全体教师至少培训一次。</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hint="eastAsia" w:ascii="宋体" w:hAnsi="宋体" w:eastAsia="宋体" w:cs="宋体"/>
                <w:color w:val="4B4B4B"/>
                <w:sz w:val="19"/>
                <w:szCs w:val="19"/>
              </w:rPr>
              <w:t>人事处</w:t>
            </w:r>
          </w:p>
          <w:p>
            <w:pPr>
              <w:adjustRightInd/>
              <w:snapToGrid/>
              <w:spacing w:before="100" w:beforeAutospacing="1" w:after="100" w:afterAutospacing="1" w:line="34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olor w:val="4B4B4B"/>
                <w:sz w:val="19"/>
                <w:szCs w:val="19"/>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．每学年至少安排</w:t>
            </w:r>
            <w:r>
              <w:rPr>
                <w:rFonts w:ascii="宋体" w:hAnsi="宋体" w:eastAsia="宋体" w:cs="宋体"/>
                <w:color w:val="4B4B4B"/>
                <w:sz w:val="19"/>
                <w:szCs w:val="19"/>
              </w:rPr>
              <w:t>1/4</w:t>
            </w:r>
            <w:r>
              <w:rPr>
                <w:rFonts w:hint="eastAsia" w:ascii="宋体" w:hAnsi="宋体" w:eastAsia="宋体" w:cs="宋体"/>
                <w:color w:val="4B4B4B"/>
                <w:sz w:val="19"/>
                <w:szCs w:val="19"/>
              </w:rPr>
              <w:t>的专职教师开展学术交流、实践研修和学习考察活动。有条件的学校可以开展国（境）外学术交流和实践研修。</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3</w:t>
            </w:r>
            <w:r>
              <w:rPr>
                <w:rFonts w:hint="eastAsia" w:ascii="宋体" w:hAnsi="宋体" w:eastAsia="宋体" w:cs="宋体"/>
                <w:color w:val="4B4B4B"/>
                <w:sz w:val="19"/>
                <w:szCs w:val="19"/>
              </w:rPr>
              <w:t>．安排专职教师进行脱产或半脱产进修，每人每</w:t>
            </w:r>
            <w:r>
              <w:rPr>
                <w:rFonts w:ascii="宋体" w:hAnsi="宋体" w:eastAsia="宋体" w:cs="宋体"/>
                <w:color w:val="4B4B4B"/>
                <w:sz w:val="19"/>
                <w:szCs w:val="19"/>
              </w:rPr>
              <w:t>4</w:t>
            </w:r>
            <w:r>
              <w:rPr>
                <w:rFonts w:hint="eastAsia" w:ascii="宋体" w:hAnsi="宋体" w:eastAsia="宋体" w:cs="宋体"/>
                <w:color w:val="4B4B4B"/>
                <w:sz w:val="19"/>
                <w:szCs w:val="19"/>
              </w:rPr>
              <w:t>年至少一次。</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ascii="宋体" w:hAnsi="宋体" w:eastAsia="宋体" w:cs="宋体"/>
                <w:color w:val="4B4B4B"/>
                <w:sz w:val="19"/>
                <w:szCs w:val="19"/>
              </w:rPr>
              <w:t>4</w:t>
            </w:r>
            <w:r>
              <w:rPr>
                <w:rFonts w:hint="eastAsia" w:ascii="宋体" w:hAnsi="宋体" w:eastAsia="宋体" w:cs="宋体"/>
                <w:color w:val="4B4B4B"/>
                <w:sz w:val="19"/>
                <w:szCs w:val="19"/>
              </w:rPr>
              <w:t>．鼓励支持专职教师攻读马克思主义理论相关学科学位。</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职务评聘</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．思想政治理论课专业技术职务高级岗位比例不低于学校重点学科高级岗位设置的平均水平，且不得挪作他用。</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人事处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．制定实施符合思想政治理论课教师职业特点的职务职称评聘标准，提高教学和教学研究占比。被有关部门采纳并发挥积极作用的理论文章、调研报告等应作为专业技术职务评定的依据。</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经济待遇</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rPr>
                <w:rFonts w:ascii="微软雅黑"/>
                <w:color w:val="4B4B4B"/>
                <w:sz w:val="19"/>
                <w:szCs w:val="19"/>
              </w:rPr>
            </w:pPr>
            <w:r>
              <w:rPr>
                <w:rFonts w:hint="eastAsia" w:ascii="宋体" w:hAnsi="宋体" w:eastAsia="宋体" w:cs="宋体"/>
                <w:color w:val="4B4B4B"/>
                <w:sz w:val="19"/>
                <w:szCs w:val="19"/>
              </w:rPr>
              <w:t>思想政治理论课教师的岗位津贴和课时补助等纳入学校内部分配体系统筹考虑，思想政治理论课教师工作量、课酬计算标准与其他专业课教师一致，教师的实际平均收入不低于本校教师的平均水平。</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2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人事处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教务处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表彰评优</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hint="eastAsia" w:ascii="宋体" w:hAnsi="宋体" w:eastAsia="宋体" w:cs="宋体"/>
                <w:color w:val="4B4B4B"/>
                <w:sz w:val="19"/>
                <w:szCs w:val="19"/>
              </w:rPr>
              <w:t>纳入学校各类教师表彰体系中，并为思想政治理论课教师确定一定比例，进行统一表彰。</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人事处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restart"/>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学科建设</w:t>
            </w:r>
          </w:p>
        </w:tc>
        <w:tc>
          <w:tcPr>
            <w:tcW w:w="1018"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学科点</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建设</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1</w:t>
            </w:r>
            <w:r>
              <w:rPr>
                <w:rFonts w:hint="eastAsia" w:ascii="宋体" w:hAnsi="宋体" w:eastAsia="宋体" w:cs="宋体"/>
                <w:color w:val="4B4B4B"/>
                <w:sz w:val="19"/>
                <w:szCs w:val="19"/>
              </w:rPr>
              <w:t>．马克思主义理论学科点设在思想政治理论课教学科研机构，首要任务是为思想政治理论课教育教学服务。</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人事处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科研处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研究生院（处）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2</w:t>
            </w:r>
            <w:r>
              <w:rPr>
                <w:rFonts w:hint="eastAsia" w:ascii="宋体" w:hAnsi="宋体" w:eastAsia="宋体" w:cs="宋体"/>
                <w:color w:val="4B4B4B"/>
                <w:sz w:val="19"/>
                <w:szCs w:val="19"/>
              </w:rPr>
              <w:t>．除马克思主义理论学科下属的本科专业外，马克思主义理论学科点不办其他本科专业。</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A</w:t>
            </w:r>
            <w:r>
              <w:rPr>
                <w:rFonts w:ascii="Symbol" w:hAnsi="Symbol" w:cs="Symbol"/>
                <w:color w:val="4B4B4B"/>
                <w:sz w:val="19"/>
                <w:szCs w:val="19"/>
              </w:rPr>
              <w:t></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ascii="宋体" w:hAnsi="宋体" w:eastAsia="宋体" w:cs="宋体"/>
                <w:color w:val="4B4B4B"/>
                <w:sz w:val="19"/>
                <w:szCs w:val="19"/>
              </w:rPr>
              <w:t>3</w:t>
            </w:r>
            <w:r>
              <w:rPr>
                <w:rFonts w:hint="eastAsia" w:ascii="宋体" w:hAnsi="宋体" w:eastAsia="宋体" w:cs="宋体"/>
                <w:color w:val="4B4B4B"/>
                <w:sz w:val="19"/>
                <w:szCs w:val="19"/>
              </w:rPr>
              <w:t>．马克思主义理论学科的学术骨干必须是思想政治理论课的教学骨干。每一位导师至少承担思想政治理论课一门课的教学任务。</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A</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科研工作</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rPr>
                <w:rFonts w:ascii="微软雅黑"/>
                <w:color w:val="4B4B4B"/>
                <w:sz w:val="19"/>
                <w:szCs w:val="19"/>
              </w:rPr>
            </w:pPr>
            <w:r>
              <w:rPr>
                <w:rFonts w:hint="eastAsia" w:ascii="宋体" w:hAnsi="宋体" w:eastAsia="宋体" w:cs="宋体"/>
                <w:color w:val="4B4B4B"/>
                <w:sz w:val="19"/>
                <w:szCs w:val="19"/>
              </w:rPr>
              <w:t>设立思想政治理论课教育教学研究专项课题。创造条件支持思想政治理论课教师申报各级各类课题，参评各种科研成果奖等。</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科研处</w:t>
            </w:r>
          </w:p>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restart"/>
            <w:tcBorders>
              <w:top w:val="nil"/>
              <w:left w:val="single" w:color="auto" w:sz="8" w:space="0"/>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60" w:lineRule="atLeast"/>
              <w:jc w:val="center"/>
              <w:rPr>
                <w:rFonts w:ascii="微软雅黑"/>
                <w:color w:val="4B4B4B"/>
                <w:sz w:val="19"/>
                <w:szCs w:val="19"/>
              </w:rPr>
            </w:pPr>
            <w:r>
              <w:rPr>
                <w:rFonts w:hint="eastAsia" w:ascii="宋体" w:hAnsi="宋体" w:eastAsia="宋体" w:cs="宋体"/>
                <w:color w:val="4B4B4B"/>
                <w:sz w:val="19"/>
                <w:szCs w:val="19"/>
              </w:rPr>
              <w:t>特色项目</w:t>
            </w: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00" w:lineRule="atLeast"/>
              <w:jc w:val="center"/>
              <w:rPr>
                <w:rFonts w:ascii="微软雅黑"/>
                <w:color w:val="4B4B4B"/>
                <w:sz w:val="19"/>
                <w:szCs w:val="19"/>
              </w:rPr>
            </w:pPr>
            <w:r>
              <w:rPr>
                <w:rFonts w:hint="eastAsia" w:ascii="宋体" w:hAnsi="宋体" w:eastAsia="宋体" w:cs="宋体"/>
                <w:color w:val="4B4B4B"/>
                <w:sz w:val="19"/>
                <w:szCs w:val="19"/>
              </w:rPr>
              <w:t>教学改革特色项目</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hint="eastAsia" w:ascii="宋体" w:hAnsi="宋体" w:eastAsia="宋体" w:cs="宋体"/>
                <w:color w:val="4B4B4B"/>
                <w:sz w:val="19"/>
                <w:szCs w:val="19"/>
              </w:rPr>
              <w:t>开展思想政治理论课教学改革与创新，并取得显著成果，其经验在全国或全省得到一定推广。</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restart"/>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hint="eastAsia" w:ascii="宋体" w:hAnsi="宋体" w:eastAsia="宋体" w:cs="宋体"/>
                <w:color w:val="4B4B4B"/>
                <w:sz w:val="19"/>
                <w:szCs w:val="19"/>
              </w:rPr>
              <w:t>宣传部</w:t>
            </w:r>
          </w:p>
          <w:p>
            <w:pPr>
              <w:adjustRightInd/>
              <w:snapToGrid/>
              <w:spacing w:before="100" w:beforeAutospacing="1" w:after="100" w:afterAutospacing="1" w:line="340" w:lineRule="atLeast"/>
              <w:jc w:val="center"/>
              <w:rPr>
                <w:rFonts w:ascii="微软雅黑"/>
                <w:color w:val="4B4B4B"/>
                <w:sz w:val="19"/>
                <w:szCs w:val="19"/>
              </w:rPr>
            </w:pPr>
            <w:r>
              <w:rPr>
                <w:rFonts w:hint="eastAsia" w:ascii="宋体" w:hAnsi="宋体" w:eastAsia="宋体" w:cs="宋体"/>
                <w:color w:val="4B4B4B"/>
                <w:sz w:val="19"/>
                <w:szCs w:val="19"/>
              </w:rPr>
              <w:t>教务处</w:t>
            </w:r>
          </w:p>
          <w:p>
            <w:pPr>
              <w:adjustRightInd/>
              <w:snapToGrid/>
              <w:spacing w:before="100" w:beforeAutospacing="1" w:after="100" w:afterAutospacing="1" w:line="340" w:lineRule="atLeast"/>
              <w:jc w:val="center"/>
              <w:rPr>
                <w:rFonts w:ascii="微软雅黑"/>
                <w:color w:val="4B4B4B"/>
                <w:sz w:val="19"/>
                <w:szCs w:val="19"/>
              </w:rPr>
            </w:pPr>
            <w:r>
              <w:rPr>
                <w:rFonts w:hint="eastAsia" w:ascii="宋体" w:hAnsi="宋体" w:eastAsia="宋体" w:cs="宋体"/>
                <w:color w:val="4B4B4B"/>
                <w:sz w:val="19"/>
                <w:szCs w:val="19"/>
              </w:rPr>
              <w:t>思政课教学科研机构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1017" w:type="dxa"/>
            <w:vMerge w:val="continue"/>
            <w:tcBorders>
              <w:top w:val="nil"/>
              <w:left w:val="single" w:color="auto" w:sz="8" w:space="0"/>
              <w:bottom w:val="single" w:color="auto" w:sz="8" w:space="0"/>
              <w:right w:val="single" w:color="auto" w:sz="8" w:space="0"/>
            </w:tcBorders>
            <w:vAlign w:val="center"/>
          </w:tcPr>
          <w:p>
            <w:pPr>
              <w:adjustRightInd/>
              <w:snapToGrid/>
              <w:spacing w:after="0"/>
              <w:rPr>
                <w:rFonts w:ascii="微软雅黑"/>
                <w:color w:val="4B4B4B"/>
                <w:sz w:val="19"/>
                <w:szCs w:val="19"/>
              </w:rPr>
            </w:pPr>
          </w:p>
        </w:tc>
        <w:tc>
          <w:tcPr>
            <w:tcW w:w="1018"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00" w:lineRule="atLeast"/>
              <w:jc w:val="center"/>
              <w:rPr>
                <w:rFonts w:ascii="微软雅黑"/>
                <w:color w:val="4B4B4B"/>
                <w:sz w:val="19"/>
                <w:szCs w:val="19"/>
              </w:rPr>
            </w:pPr>
            <w:r>
              <w:rPr>
                <w:rFonts w:hint="eastAsia" w:ascii="宋体" w:hAnsi="宋体" w:eastAsia="宋体" w:cs="宋体"/>
                <w:color w:val="4B4B4B"/>
                <w:sz w:val="19"/>
                <w:szCs w:val="19"/>
              </w:rPr>
              <w:t>其他</w:t>
            </w:r>
          </w:p>
        </w:tc>
        <w:tc>
          <w:tcPr>
            <w:tcW w:w="4273"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rPr>
                <w:rFonts w:ascii="微软雅黑"/>
                <w:color w:val="4B4B4B"/>
                <w:sz w:val="19"/>
                <w:szCs w:val="19"/>
              </w:rPr>
            </w:pPr>
            <w:r>
              <w:rPr>
                <w:rFonts w:hint="eastAsia" w:ascii="宋体" w:hAnsi="宋体" w:eastAsia="宋体" w:cs="宋体"/>
                <w:color w:val="4B4B4B"/>
                <w:sz w:val="19"/>
                <w:szCs w:val="19"/>
              </w:rPr>
              <w:t>能够推动思想政治理论课建设工作的其他有特色的项目。</w:t>
            </w:r>
          </w:p>
        </w:tc>
        <w:tc>
          <w:tcPr>
            <w:tcW w:w="631" w:type="dxa"/>
            <w:tcBorders>
              <w:top w:val="nil"/>
              <w:left w:val="nil"/>
              <w:bottom w:val="single" w:color="auto" w:sz="8" w:space="0"/>
              <w:right w:val="single" w:color="auto" w:sz="8" w:space="0"/>
            </w:tcBorders>
            <w:tcMar>
              <w:top w:w="85" w:type="dxa"/>
              <w:left w:w="108" w:type="dxa"/>
              <w:bottom w:w="85" w:type="dxa"/>
              <w:right w:w="108" w:type="dxa"/>
            </w:tcMar>
            <w:vAlign w:val="center"/>
          </w:tcPr>
          <w:p>
            <w:pPr>
              <w:adjustRightInd/>
              <w:snapToGrid/>
              <w:spacing w:before="100" w:beforeAutospacing="1" w:after="100" w:afterAutospacing="1" w:line="340" w:lineRule="atLeast"/>
              <w:jc w:val="center"/>
              <w:rPr>
                <w:rFonts w:ascii="微软雅黑"/>
                <w:color w:val="4B4B4B"/>
                <w:sz w:val="19"/>
                <w:szCs w:val="19"/>
              </w:rPr>
            </w:pPr>
            <w:r>
              <w:rPr>
                <w:rFonts w:ascii="宋体" w:hAnsi="宋体" w:eastAsia="宋体" w:cs="宋体"/>
                <w:color w:val="4B4B4B"/>
                <w:sz w:val="19"/>
                <w:szCs w:val="19"/>
              </w:rPr>
              <w:t>B</w:t>
            </w:r>
          </w:p>
        </w:tc>
        <w:tc>
          <w:tcPr>
            <w:tcW w:w="1125" w:type="dxa"/>
            <w:vMerge w:val="continue"/>
            <w:tcBorders>
              <w:top w:val="nil"/>
              <w:left w:val="nil"/>
              <w:bottom w:val="single" w:color="auto" w:sz="8" w:space="0"/>
              <w:right w:val="single" w:color="auto" w:sz="8" w:space="0"/>
            </w:tcBorders>
            <w:vAlign w:val="center"/>
          </w:tcPr>
          <w:p>
            <w:pPr>
              <w:adjustRightInd/>
              <w:snapToGrid/>
              <w:spacing w:after="0"/>
              <w:rPr>
                <w:rFonts w:ascii="微软雅黑"/>
                <w:color w:val="4B4B4B"/>
                <w:sz w:val="19"/>
                <w:szCs w:val="19"/>
              </w:rPr>
            </w:pPr>
          </w:p>
        </w:tc>
      </w:tr>
    </w:tbl>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楷体" w:hAnsi="楷体" w:eastAsia="楷体" w:cs="楷体"/>
          <w:color w:val="4B4B4B"/>
          <w:sz w:val="19"/>
          <w:szCs w:val="19"/>
        </w:rPr>
        <w:t>说明：</w:t>
      </w:r>
    </w:p>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楷体" w:hAnsi="楷体" w:eastAsia="楷体" w:cs="楷体"/>
          <w:color w:val="4B4B4B"/>
          <w:sz w:val="19"/>
          <w:szCs w:val="19"/>
        </w:rPr>
        <w:t>　　</w:t>
      </w:r>
      <w:r>
        <w:rPr>
          <w:rFonts w:ascii="楷体" w:hAnsi="楷体" w:eastAsia="楷体" w:cs="楷体"/>
          <w:color w:val="4B4B4B"/>
          <w:sz w:val="19"/>
          <w:szCs w:val="19"/>
        </w:rPr>
        <w:t>1.</w:t>
      </w:r>
      <w:r>
        <w:rPr>
          <w:rFonts w:hint="eastAsia" w:ascii="楷体" w:hAnsi="楷体" w:eastAsia="楷体" w:cs="楷体"/>
          <w:color w:val="4B4B4B"/>
          <w:sz w:val="19"/>
          <w:szCs w:val="19"/>
        </w:rPr>
        <w:t>关于指标类别。建设指标分</w:t>
      </w:r>
      <w:r>
        <w:rPr>
          <w:rFonts w:ascii="楷体" w:hAnsi="楷体" w:eastAsia="楷体" w:cs="楷体"/>
          <w:color w:val="4B4B4B"/>
          <w:sz w:val="19"/>
          <w:szCs w:val="19"/>
        </w:rPr>
        <w:t>A*</w:t>
      </w:r>
      <w:r>
        <w:rPr>
          <w:rFonts w:hint="eastAsia" w:ascii="楷体" w:hAnsi="楷体" w:eastAsia="楷体" w:cs="楷体"/>
          <w:color w:val="4B4B4B"/>
          <w:sz w:val="19"/>
          <w:szCs w:val="19"/>
        </w:rPr>
        <w:t>、</w:t>
      </w:r>
      <w:r>
        <w:rPr>
          <w:rFonts w:ascii="楷体" w:hAnsi="楷体" w:eastAsia="楷体" w:cs="楷体"/>
          <w:color w:val="4B4B4B"/>
          <w:sz w:val="19"/>
          <w:szCs w:val="19"/>
        </w:rPr>
        <w:t>A</w:t>
      </w:r>
      <w:r>
        <w:rPr>
          <w:rFonts w:hint="eastAsia" w:ascii="楷体" w:hAnsi="楷体" w:eastAsia="楷体" w:cs="楷体"/>
          <w:color w:val="4B4B4B"/>
          <w:sz w:val="19"/>
          <w:szCs w:val="19"/>
        </w:rPr>
        <w:t>、</w:t>
      </w:r>
      <w:r>
        <w:rPr>
          <w:rFonts w:ascii="楷体" w:hAnsi="楷体" w:eastAsia="楷体" w:cs="楷体"/>
          <w:color w:val="4B4B4B"/>
          <w:sz w:val="19"/>
          <w:szCs w:val="19"/>
        </w:rPr>
        <w:t>B</w:t>
      </w:r>
      <w:r>
        <w:rPr>
          <w:rFonts w:hint="eastAsia" w:ascii="楷体" w:hAnsi="楷体" w:eastAsia="楷体" w:cs="楷体"/>
          <w:color w:val="4B4B4B"/>
          <w:sz w:val="19"/>
          <w:szCs w:val="19"/>
        </w:rPr>
        <w:t>三类，共</w:t>
      </w:r>
      <w:r>
        <w:rPr>
          <w:rFonts w:ascii="楷体" w:hAnsi="楷体" w:eastAsia="楷体" w:cs="楷体"/>
          <w:color w:val="4B4B4B"/>
          <w:sz w:val="19"/>
          <w:szCs w:val="19"/>
        </w:rPr>
        <w:t>39</w:t>
      </w:r>
      <w:r>
        <w:rPr>
          <w:rFonts w:hint="eastAsia" w:ascii="楷体" w:hAnsi="楷体" w:eastAsia="楷体" w:cs="楷体"/>
          <w:color w:val="4B4B4B"/>
          <w:sz w:val="19"/>
          <w:szCs w:val="19"/>
        </w:rPr>
        <w:t>项，其中</w:t>
      </w:r>
      <w:r>
        <w:rPr>
          <w:rFonts w:ascii="楷体" w:hAnsi="楷体" w:eastAsia="楷体" w:cs="楷体"/>
          <w:color w:val="4B4B4B"/>
          <w:sz w:val="19"/>
          <w:szCs w:val="19"/>
        </w:rPr>
        <w:t>A*</w:t>
      </w:r>
      <w:r>
        <w:rPr>
          <w:rFonts w:hint="eastAsia" w:ascii="楷体" w:hAnsi="楷体" w:eastAsia="楷体" w:cs="楷体"/>
          <w:color w:val="4B4B4B"/>
          <w:sz w:val="19"/>
          <w:szCs w:val="19"/>
        </w:rPr>
        <w:t>为核心指标（</w:t>
      </w:r>
      <w:r>
        <w:rPr>
          <w:rFonts w:ascii="楷体" w:hAnsi="楷体" w:eastAsia="楷体" w:cs="楷体"/>
          <w:color w:val="4B4B4B"/>
          <w:sz w:val="19"/>
          <w:szCs w:val="19"/>
        </w:rPr>
        <w:t>7</w:t>
      </w:r>
      <w:r>
        <w:rPr>
          <w:rFonts w:hint="eastAsia" w:ascii="楷体" w:hAnsi="楷体" w:eastAsia="楷体" w:cs="楷体"/>
          <w:color w:val="4B4B4B"/>
          <w:sz w:val="19"/>
          <w:szCs w:val="19"/>
        </w:rPr>
        <w:t>项），</w:t>
      </w:r>
      <w:r>
        <w:rPr>
          <w:rFonts w:ascii="楷体" w:hAnsi="楷体" w:eastAsia="楷体" w:cs="楷体"/>
          <w:color w:val="4B4B4B"/>
          <w:sz w:val="19"/>
          <w:szCs w:val="19"/>
        </w:rPr>
        <w:t>A</w:t>
      </w:r>
      <w:r>
        <w:rPr>
          <w:rFonts w:hint="eastAsia" w:ascii="楷体" w:hAnsi="楷体" w:eastAsia="楷体" w:cs="楷体"/>
          <w:color w:val="4B4B4B"/>
          <w:sz w:val="19"/>
          <w:szCs w:val="19"/>
        </w:rPr>
        <w:t>为重点指标（</w:t>
      </w:r>
      <w:r>
        <w:rPr>
          <w:rFonts w:ascii="楷体" w:hAnsi="楷体" w:eastAsia="楷体" w:cs="楷体"/>
          <w:color w:val="4B4B4B"/>
          <w:sz w:val="19"/>
          <w:szCs w:val="19"/>
        </w:rPr>
        <w:t>9</w:t>
      </w:r>
      <w:r>
        <w:rPr>
          <w:rFonts w:hint="eastAsia" w:ascii="楷体" w:hAnsi="楷体" w:eastAsia="楷体" w:cs="楷体"/>
          <w:color w:val="4B4B4B"/>
          <w:sz w:val="19"/>
          <w:szCs w:val="19"/>
        </w:rPr>
        <w:t>项），</w:t>
      </w:r>
      <w:r>
        <w:rPr>
          <w:rFonts w:ascii="楷体" w:hAnsi="楷体" w:eastAsia="楷体" w:cs="楷体"/>
          <w:color w:val="4B4B4B"/>
          <w:sz w:val="19"/>
          <w:szCs w:val="19"/>
        </w:rPr>
        <w:t>B</w:t>
      </w:r>
      <w:r>
        <w:rPr>
          <w:rFonts w:hint="eastAsia" w:ascii="楷体" w:hAnsi="楷体" w:eastAsia="楷体" w:cs="楷体"/>
          <w:color w:val="4B4B4B"/>
          <w:sz w:val="19"/>
          <w:szCs w:val="19"/>
        </w:rPr>
        <w:t>为基本指标（</w:t>
      </w:r>
      <w:r>
        <w:rPr>
          <w:rFonts w:ascii="楷体" w:hAnsi="楷体" w:eastAsia="楷体" w:cs="楷体"/>
          <w:color w:val="4B4B4B"/>
          <w:sz w:val="19"/>
          <w:szCs w:val="19"/>
        </w:rPr>
        <w:t>23</w:t>
      </w:r>
      <w:r>
        <w:rPr>
          <w:rFonts w:hint="eastAsia" w:ascii="楷体" w:hAnsi="楷体" w:eastAsia="楷体" w:cs="楷体"/>
          <w:color w:val="4B4B4B"/>
          <w:sz w:val="19"/>
          <w:szCs w:val="19"/>
        </w:rPr>
        <w:t>项）。</w:t>
      </w:r>
    </w:p>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楷体" w:hAnsi="楷体" w:eastAsia="楷体" w:cs="楷体"/>
          <w:color w:val="4B4B4B"/>
          <w:sz w:val="19"/>
          <w:szCs w:val="19"/>
        </w:rPr>
        <w:t>　　</w:t>
      </w:r>
      <w:r>
        <w:rPr>
          <w:rFonts w:ascii="楷体" w:hAnsi="楷体" w:eastAsia="楷体" w:cs="楷体"/>
          <w:color w:val="4B4B4B"/>
          <w:sz w:val="19"/>
          <w:szCs w:val="19"/>
        </w:rPr>
        <w:t>2.</w:t>
      </w:r>
      <w:r>
        <w:rPr>
          <w:rFonts w:hint="eastAsia" w:ascii="楷体" w:hAnsi="楷体" w:eastAsia="楷体" w:cs="楷体"/>
          <w:color w:val="4B4B4B"/>
          <w:sz w:val="19"/>
          <w:szCs w:val="19"/>
        </w:rPr>
        <w:t>关于评价标准。本科院校</w:t>
      </w:r>
      <w:r>
        <w:rPr>
          <w:rFonts w:ascii="楷体" w:hAnsi="楷体" w:eastAsia="楷体" w:cs="楷体"/>
          <w:color w:val="4B4B4B"/>
          <w:sz w:val="19"/>
          <w:szCs w:val="19"/>
        </w:rPr>
        <w:t>A*</w:t>
      </w:r>
      <w:r>
        <w:rPr>
          <w:rFonts w:hint="eastAsia" w:ascii="楷体" w:hAnsi="楷体" w:eastAsia="楷体" w:cs="楷体"/>
          <w:color w:val="4B4B4B"/>
          <w:sz w:val="19"/>
          <w:szCs w:val="19"/>
        </w:rPr>
        <w:t>指标</w:t>
      </w:r>
      <w:r>
        <w:rPr>
          <w:rFonts w:ascii="楷体" w:hAnsi="楷体" w:eastAsia="楷体" w:cs="楷体"/>
          <w:color w:val="4B4B4B"/>
          <w:sz w:val="19"/>
          <w:szCs w:val="19"/>
        </w:rPr>
        <w:t>7</w:t>
      </w:r>
      <w:r>
        <w:rPr>
          <w:rFonts w:hint="eastAsia" w:ascii="楷体" w:hAnsi="楷体" w:eastAsia="楷体" w:cs="楷体"/>
          <w:color w:val="4B4B4B"/>
          <w:sz w:val="19"/>
          <w:szCs w:val="19"/>
        </w:rPr>
        <w:t>项、</w:t>
      </w:r>
      <w:r>
        <w:rPr>
          <w:rFonts w:ascii="楷体" w:hAnsi="楷体" w:eastAsia="楷体" w:cs="楷体"/>
          <w:color w:val="4B4B4B"/>
          <w:sz w:val="19"/>
          <w:szCs w:val="19"/>
        </w:rPr>
        <w:t>A</w:t>
      </w:r>
      <w:r>
        <w:rPr>
          <w:rFonts w:hint="eastAsia" w:ascii="楷体" w:hAnsi="楷体" w:eastAsia="楷体" w:cs="楷体"/>
          <w:color w:val="4B4B4B"/>
          <w:sz w:val="19"/>
          <w:szCs w:val="19"/>
        </w:rPr>
        <w:t>类指标</w:t>
      </w:r>
      <w:r>
        <w:rPr>
          <w:rFonts w:ascii="楷体" w:hAnsi="楷体" w:eastAsia="楷体" w:cs="楷体"/>
          <w:color w:val="4B4B4B"/>
          <w:sz w:val="19"/>
          <w:szCs w:val="19"/>
        </w:rPr>
        <w:t>8</w:t>
      </w:r>
      <w:r>
        <w:rPr>
          <w:rFonts w:hint="eastAsia" w:ascii="楷体" w:hAnsi="楷体" w:eastAsia="楷体" w:cs="楷体"/>
          <w:color w:val="4B4B4B"/>
          <w:sz w:val="19"/>
          <w:szCs w:val="19"/>
        </w:rPr>
        <w:t>项以上、</w:t>
      </w:r>
      <w:r>
        <w:rPr>
          <w:rFonts w:ascii="楷体" w:hAnsi="楷体" w:eastAsia="楷体" w:cs="楷体"/>
          <w:color w:val="4B4B4B"/>
          <w:sz w:val="19"/>
          <w:szCs w:val="19"/>
        </w:rPr>
        <w:t>B</w:t>
      </w:r>
      <w:r>
        <w:rPr>
          <w:rFonts w:hint="eastAsia" w:ascii="楷体" w:hAnsi="楷体" w:eastAsia="楷体" w:cs="楷体"/>
          <w:color w:val="4B4B4B"/>
          <w:sz w:val="19"/>
          <w:szCs w:val="19"/>
        </w:rPr>
        <w:t>类指标</w:t>
      </w:r>
      <w:r>
        <w:rPr>
          <w:rFonts w:ascii="楷体" w:hAnsi="楷体" w:eastAsia="楷体" w:cs="楷体"/>
          <w:color w:val="4B4B4B"/>
          <w:sz w:val="19"/>
          <w:szCs w:val="19"/>
        </w:rPr>
        <w:t>20</w:t>
      </w:r>
      <w:r>
        <w:rPr>
          <w:rFonts w:hint="eastAsia" w:ascii="楷体" w:hAnsi="楷体" w:eastAsia="楷体" w:cs="楷体"/>
          <w:color w:val="4B4B4B"/>
          <w:sz w:val="19"/>
          <w:szCs w:val="19"/>
        </w:rPr>
        <w:t>项以上达标方可认定合格；专科院校</w:t>
      </w:r>
      <w:r>
        <w:rPr>
          <w:rFonts w:ascii="楷体" w:hAnsi="楷体" w:eastAsia="楷体" w:cs="楷体"/>
          <w:color w:val="4B4B4B"/>
          <w:sz w:val="19"/>
          <w:szCs w:val="19"/>
        </w:rPr>
        <w:t>A*</w:t>
      </w:r>
      <w:r>
        <w:rPr>
          <w:rFonts w:hint="eastAsia" w:ascii="楷体" w:hAnsi="楷体" w:eastAsia="楷体" w:cs="楷体"/>
          <w:color w:val="4B4B4B"/>
          <w:sz w:val="19"/>
          <w:szCs w:val="19"/>
        </w:rPr>
        <w:t>指标</w:t>
      </w:r>
      <w:r>
        <w:rPr>
          <w:rFonts w:ascii="楷体" w:hAnsi="楷体" w:eastAsia="楷体" w:cs="楷体"/>
          <w:color w:val="4B4B4B"/>
          <w:sz w:val="19"/>
          <w:szCs w:val="19"/>
        </w:rPr>
        <w:t>5</w:t>
      </w:r>
      <w:r>
        <w:rPr>
          <w:rFonts w:hint="eastAsia" w:ascii="楷体" w:hAnsi="楷体" w:eastAsia="楷体" w:cs="楷体"/>
          <w:color w:val="4B4B4B"/>
          <w:sz w:val="19"/>
          <w:szCs w:val="19"/>
        </w:rPr>
        <w:t>项、</w:t>
      </w:r>
      <w:r>
        <w:rPr>
          <w:rFonts w:ascii="楷体" w:hAnsi="楷体" w:eastAsia="楷体" w:cs="楷体"/>
          <w:color w:val="4B4B4B"/>
          <w:sz w:val="19"/>
          <w:szCs w:val="19"/>
        </w:rPr>
        <w:t>A</w:t>
      </w:r>
      <w:r>
        <w:rPr>
          <w:rFonts w:hint="eastAsia" w:ascii="楷体" w:hAnsi="楷体" w:eastAsia="楷体" w:cs="楷体"/>
          <w:color w:val="4B4B4B"/>
          <w:sz w:val="19"/>
          <w:szCs w:val="19"/>
        </w:rPr>
        <w:t>类指标</w:t>
      </w:r>
      <w:r>
        <w:rPr>
          <w:rFonts w:ascii="楷体" w:hAnsi="楷体" w:eastAsia="楷体" w:cs="楷体"/>
          <w:color w:val="4B4B4B"/>
          <w:sz w:val="19"/>
          <w:szCs w:val="19"/>
        </w:rPr>
        <w:t>7</w:t>
      </w:r>
      <w:r>
        <w:rPr>
          <w:rFonts w:hint="eastAsia" w:ascii="楷体" w:hAnsi="楷体" w:eastAsia="楷体" w:cs="楷体"/>
          <w:color w:val="4B4B4B"/>
          <w:sz w:val="19"/>
          <w:szCs w:val="19"/>
        </w:rPr>
        <w:t>项以上、</w:t>
      </w:r>
      <w:r>
        <w:rPr>
          <w:rFonts w:ascii="楷体" w:hAnsi="楷体" w:eastAsia="楷体" w:cs="楷体"/>
          <w:color w:val="4B4B4B"/>
          <w:sz w:val="19"/>
          <w:szCs w:val="19"/>
        </w:rPr>
        <w:t>B</w:t>
      </w:r>
      <w:r>
        <w:rPr>
          <w:rFonts w:hint="eastAsia" w:ascii="楷体" w:hAnsi="楷体" w:eastAsia="楷体" w:cs="楷体"/>
          <w:color w:val="4B4B4B"/>
          <w:sz w:val="19"/>
          <w:szCs w:val="19"/>
        </w:rPr>
        <w:t>类指标</w:t>
      </w:r>
      <w:r>
        <w:rPr>
          <w:rFonts w:ascii="楷体" w:hAnsi="楷体" w:eastAsia="楷体" w:cs="楷体"/>
          <w:color w:val="4B4B4B"/>
          <w:sz w:val="19"/>
          <w:szCs w:val="19"/>
        </w:rPr>
        <w:t>19</w:t>
      </w:r>
      <w:r>
        <w:rPr>
          <w:rFonts w:hint="eastAsia" w:ascii="楷体" w:hAnsi="楷体" w:eastAsia="楷体" w:cs="楷体"/>
          <w:color w:val="4B4B4B"/>
          <w:sz w:val="19"/>
          <w:szCs w:val="19"/>
        </w:rPr>
        <w:t>项以上达标方可认定合格。</w:t>
      </w:r>
    </w:p>
    <w:p>
      <w:pPr>
        <w:shd w:val="clear" w:color="auto" w:fill="FFFFFF"/>
        <w:adjustRightInd/>
        <w:snapToGrid/>
        <w:spacing w:before="100" w:beforeAutospacing="1" w:after="100" w:afterAutospacing="1" w:line="384" w:lineRule="atLeast"/>
        <w:rPr>
          <w:rFonts w:ascii="微软雅黑"/>
          <w:color w:val="4B4B4B"/>
          <w:sz w:val="19"/>
          <w:szCs w:val="19"/>
        </w:rPr>
      </w:pPr>
      <w:r>
        <w:rPr>
          <w:rFonts w:hint="eastAsia" w:ascii="楷体" w:hAnsi="楷体" w:eastAsia="楷体" w:cs="楷体"/>
          <w:color w:val="4B4B4B"/>
          <w:sz w:val="19"/>
          <w:szCs w:val="19"/>
        </w:rPr>
        <w:t>　　</w:t>
      </w:r>
      <w:r>
        <w:rPr>
          <w:rFonts w:ascii="楷体" w:hAnsi="楷体" w:eastAsia="楷体" w:cs="楷体"/>
          <w:color w:val="4B4B4B"/>
          <w:sz w:val="19"/>
          <w:szCs w:val="19"/>
        </w:rPr>
        <w:t>3.</w:t>
      </w:r>
      <w:r>
        <w:rPr>
          <w:rFonts w:hint="eastAsia" w:ascii="楷体" w:hAnsi="楷体" w:eastAsia="楷体" w:cs="楷体"/>
          <w:color w:val="4B4B4B"/>
          <w:sz w:val="19"/>
          <w:szCs w:val="19"/>
        </w:rPr>
        <w:t>关于教师类别。专职教师是指编制在思想政治理论课教学科研机构的教师；兼职教师是指编制属其他教学机构或管理部门（单位）的教师。</w:t>
      </w:r>
    </w:p>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81E15"/>
    <w:rsid w:val="001B5F8F"/>
    <w:rsid w:val="0028326C"/>
    <w:rsid w:val="00323B43"/>
    <w:rsid w:val="003D37D8"/>
    <w:rsid w:val="00426133"/>
    <w:rsid w:val="004358AB"/>
    <w:rsid w:val="005519D0"/>
    <w:rsid w:val="00753E06"/>
    <w:rsid w:val="00834BE4"/>
    <w:rsid w:val="008B7726"/>
    <w:rsid w:val="00A55647"/>
    <w:rsid w:val="00D23888"/>
    <w:rsid w:val="00D31D50"/>
    <w:rsid w:val="00E55465"/>
    <w:rsid w:val="090C0315"/>
    <w:rsid w:val="352A63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4"/>
    <w:link w:val="3"/>
    <w:semiHidden/>
    <w:locked/>
    <w:uiPriority w:val="99"/>
    <w:rPr>
      <w:rFonts w:ascii="Tahoma" w:hAnsi="Tahoma" w:cs="Tahoma"/>
      <w:sz w:val="18"/>
      <w:szCs w:val="18"/>
    </w:rPr>
  </w:style>
  <w:style w:type="character" w:customStyle="1" w:styleId="7">
    <w:name w:val="Footer Char"/>
    <w:basedOn w:val="4"/>
    <w:link w:val="2"/>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新华学院</Company>
  <Pages>6</Pages>
  <Words>515</Words>
  <Characters>2937</Characters>
  <Lines>0</Lines>
  <Paragraphs>0</Paragraphs>
  <TotalTime>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马里奥的小小世界</cp:lastModifiedBy>
  <dcterms:modified xsi:type="dcterms:W3CDTF">2019-01-04T09:54:36Z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